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25" w:rsidRDefault="00516338">
      <w:r w:rsidRPr="00516338">
        <w:rPr>
          <w:noProof/>
          <w:lang w:eastAsia="ru-RU"/>
        </w:rPr>
        <w:drawing>
          <wp:inline distT="0" distB="0" distL="0" distR="0">
            <wp:extent cx="9639300" cy="535305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16338" w:rsidRDefault="00516338"/>
    <w:p w:rsidR="00516338" w:rsidRDefault="00251A21">
      <w:r w:rsidRPr="00251A21">
        <w:rPr>
          <w:noProof/>
          <w:lang w:eastAsia="ru-RU"/>
        </w:rPr>
        <w:lastRenderedPageBreak/>
        <w:drawing>
          <wp:inline distT="0" distB="0" distL="0" distR="0">
            <wp:extent cx="9305925" cy="5553075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16338" w:rsidRDefault="00516338"/>
    <w:p w:rsidR="00251A21" w:rsidRDefault="00A85514">
      <w:r w:rsidRPr="00A85514">
        <w:rPr>
          <w:noProof/>
          <w:lang w:eastAsia="ru-RU"/>
        </w:rPr>
        <w:lastRenderedPageBreak/>
        <w:drawing>
          <wp:inline distT="0" distB="0" distL="0" distR="0">
            <wp:extent cx="9505950" cy="53721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51A21" w:rsidRDefault="00251A21"/>
    <w:sectPr w:rsidR="00251A21" w:rsidSect="005163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6338"/>
    <w:rsid w:val="00251A21"/>
    <w:rsid w:val="00516338"/>
    <w:rsid w:val="005F52DA"/>
    <w:rsid w:val="00A85514"/>
    <w:rsid w:val="00D62125"/>
    <w:rsid w:val="00F15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3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1;&#1077;&#1085;&#1072;\&#1054;&#1090;&#1082;&#1088;&#1099;&#1090;&#1099;&#1081;%20&#1073;&#1102;&#1076;&#1078;&#1077;&#1090;\2023\&#1054;&#1078;&#1080;&#1076;&#1072;&#1077;&#1084;&#1086;&#1077;%20&#1080;&#1089;&#1087;&#1086;&#1083;&#1085;&#1077;&#1085;&#1080;&#1077;%2015%2011%202023\&#1089;&#1090;&#1088;&#1091;&#1082;&#1090;&#1091;&#1088;&#1072;%20&#1076;&#1086;&#1093;&#1086;&#1076;&#1099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1;&#1077;&#1085;&#1072;\&#1054;&#1090;&#1082;&#1088;&#1099;&#1090;&#1099;&#1081;%20&#1073;&#1102;&#1076;&#1078;&#1077;&#1090;\2023\&#1054;&#1078;&#1080;&#1076;&#1072;&#1077;&#1084;&#1086;&#1077;%20&#1080;&#1089;&#1087;&#1086;&#1083;&#1085;&#1077;&#1085;&#1080;&#1077;%2015%2011%202023\&#1089;&#1090;&#1088;&#1091;&#1082;&#1090;&#1091;&#1088;&#1072;%20&#1076;&#1086;&#1093;&#1086;&#1076;&#1099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1;&#1077;&#1085;&#1072;\&#1054;&#1090;&#1082;&#1088;&#1099;&#1090;&#1099;&#1081;%20&#1073;&#1102;&#1076;&#1078;&#1077;&#1090;\2023\&#1054;&#1078;&#1080;&#1076;&#1072;&#1077;&#1084;&#1086;&#1077;%20&#1080;&#1089;&#1087;&#1086;&#1083;&#1085;&#1077;&#1085;&#1080;&#1077;%2015%2011%202023\&#1089;&#1090;&#1088;&#1091;&#1082;&#1090;&#1091;&#1088;&#1072;%20&#1076;&#1086;&#1093;&#1086;&#1076;&#1099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2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Структура доходов 2024 год</a:t>
            </a:r>
          </a:p>
        </c:rich>
      </c:tx>
      <c:layout>
        <c:manualLayout>
          <c:xMode val="edge"/>
          <c:yMode val="edge"/>
          <c:x val="0.3322911540354328"/>
          <c:y val="2.9288650918635174E-2"/>
        </c:manualLayout>
      </c:layout>
      <c:spPr>
        <a:noFill/>
        <a:ln w="25400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3.4179703798152841E-2"/>
          <c:y val="0.40813072937425315"/>
          <c:w val="0.64648468326791919"/>
          <c:h val="0.42764295547979481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9956165124913949"/>
                  <c:y val="-0.15075004603132192"/>
                </c:manualLayout>
              </c:layout>
              <c:dLblPos val="bestFit"/>
              <c:showVal val="1"/>
            </c:dLbl>
            <c:dLbl>
              <c:idx val="1"/>
              <c:layout>
                <c:manualLayout>
                  <c:x val="8.1149524278215221E-4"/>
                  <c:y val="4.401620997375337E-2"/>
                </c:manualLayout>
              </c:layout>
              <c:dLblPos val="bestFit"/>
              <c:showVal val="1"/>
            </c:dLbl>
            <c:dLbl>
              <c:idx val="2"/>
              <c:layout>
                <c:manualLayout>
                  <c:x val="3.7005823490813697E-3"/>
                  <c:y val="-8.1063979002624686E-2"/>
                </c:manualLayout>
              </c:layout>
              <c:dLblPos val="bestFit"/>
              <c:showVal val="1"/>
            </c:dLbl>
            <c:dLbl>
              <c:idx val="3"/>
              <c:layout>
                <c:manualLayout>
                  <c:x val="0.11936618274278224"/>
                  <c:y val="2.7543181102362209E-2"/>
                </c:manualLayout>
              </c:layout>
              <c:dLblPos val="bestFit"/>
              <c:showVal val="1"/>
            </c:dLbl>
            <c:dLbl>
              <c:idx val="4"/>
              <c:layout>
                <c:manualLayout>
                  <c:x val="4.9533505577427821E-3"/>
                  <c:y val="-5.8049343832020997E-2"/>
                </c:manualLayout>
              </c:layout>
              <c:showVal val="1"/>
            </c:dLbl>
            <c:dLbl>
              <c:idx val="5"/>
              <c:layout>
                <c:manualLayout>
                  <c:x val="5.9905778379265077E-2"/>
                  <c:y val="3.6787233595800571E-2"/>
                </c:manualLayout>
              </c:layout>
              <c:dLblPos val="bestFit"/>
              <c:showVal val="1"/>
            </c:dLbl>
            <c:dLbl>
              <c:idx val="6"/>
              <c:layout>
                <c:manualLayout>
                  <c:x val="-2.1198121719160114E-2"/>
                  <c:y val="-2.937902362204721E-2"/>
                </c:manualLayout>
              </c:layout>
              <c:dLblPos val="bestFit"/>
              <c:showVal val="1"/>
            </c:dLbl>
            <c:dLbl>
              <c:idx val="7"/>
              <c:layout>
                <c:manualLayout>
                  <c:x val="-1.6293897586492094E-4"/>
                  <c:y val="-9.9359034847674665E-2"/>
                </c:manualLayout>
              </c:layout>
              <c:dLblPos val="bestFit"/>
              <c:showVal val="1"/>
            </c:dLbl>
            <c:dLbl>
              <c:idx val="8"/>
              <c:layout>
                <c:manualLayout>
                  <c:x val="3.9967140337926518E-2"/>
                  <c:y val="-0.14176537532808398"/>
                </c:manualLayout>
              </c:layout>
              <c:showVal val="1"/>
            </c:dLbl>
            <c:dLbl>
              <c:idx val="9"/>
              <c:layout>
                <c:manualLayout>
                  <c:x val="4.0526677329396417E-2"/>
                  <c:y val="-1.696537532808402E-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82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'2024'!$A$3:$A$13</c:f>
              <c:strCache>
                <c:ptCount val="10"/>
                <c:pt idx="0">
                  <c:v>Налоги на прибыль, доходы</c:v>
                </c:pt>
                <c:pt idx="1">
                  <c:v>Налоги на товары (работы, услуги), реализуемые на территории Российской Федерации</c:v>
                </c:pt>
                <c:pt idx="2">
                  <c:v>Налоги на совокупный доход</c:v>
                </c:pt>
                <c:pt idx="3">
                  <c:v>Налоги на имущество</c:v>
                </c:pt>
                <c:pt idx="4">
                  <c:v>Государственная пошлина</c:v>
                </c:pt>
                <c:pt idx="5">
                  <c:v>Доходы от использования имущества, находящегося в государственной и муниципальной собственности</c:v>
                </c:pt>
                <c:pt idx="6">
                  <c:v>Платежи при пользовании природными ресурсами</c:v>
                </c:pt>
                <c:pt idx="7">
                  <c:v>Доходы от оказания платных услуг (работ) и компенсации затрат государства</c:v>
                </c:pt>
                <c:pt idx="8">
                  <c:v>Доходы от продажи материальных и нематериальных активов</c:v>
                </c:pt>
                <c:pt idx="9">
                  <c:v>Штрафы, санкции, возмещение ущерба</c:v>
                </c:pt>
              </c:strCache>
            </c:strRef>
          </c:cat>
          <c:val>
            <c:numRef>
              <c:f>'2024'!$B$3:$B$13</c:f>
              <c:numCache>
                <c:formatCode>0.0%</c:formatCode>
                <c:ptCount val="10"/>
                <c:pt idx="0">
                  <c:v>0.70413119305152894</c:v>
                </c:pt>
                <c:pt idx="1">
                  <c:v>1.2918162469325215E-2</c:v>
                </c:pt>
                <c:pt idx="2">
                  <c:v>7.4811502146385864E-2</c:v>
                </c:pt>
                <c:pt idx="3">
                  <c:v>0.12872305433942599</c:v>
                </c:pt>
                <c:pt idx="4">
                  <c:v>4.6495551065155113E-3</c:v>
                </c:pt>
                <c:pt idx="5">
                  <c:v>4.2845768107562084E-2</c:v>
                </c:pt>
                <c:pt idx="6">
                  <c:v>6.1619836435500893E-3</c:v>
                </c:pt>
                <c:pt idx="7">
                  <c:v>4.7943308548567472E-4</c:v>
                </c:pt>
                <c:pt idx="8">
                  <c:v>2.4107996152379626E-2</c:v>
                </c:pt>
                <c:pt idx="9">
                  <c:v>9.9065537420382397E-4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117218257874014"/>
          <c:y val="0.1626019947506562"/>
          <c:w val="0.29199229002624688"/>
          <c:h val="0.66666767454068343"/>
        </c:manualLayout>
      </c:layout>
      <c:spPr>
        <a:solidFill>
          <a:srgbClr val="FFFFFF"/>
        </a:solidFill>
        <a:ln w="3175">
          <a:solidFill>
            <a:srgbClr val="FFFFFF"/>
          </a:solidFill>
          <a:prstDash val="solid"/>
        </a:ln>
      </c:spPr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solidFill>
      <a:srgbClr val="FFFFFF"/>
    </a:solidFill>
    <a:ln w="12700">
      <a:solidFill>
        <a:srgbClr val="FFFFFF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2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Структура доходов 2025 год</a:t>
            </a:r>
          </a:p>
        </c:rich>
      </c:tx>
      <c:layout>
        <c:manualLayout>
          <c:xMode val="edge"/>
          <c:yMode val="edge"/>
          <c:x val="0.3322911540354328"/>
          <c:y val="2.9288607216780831E-2"/>
        </c:manualLayout>
      </c:layout>
      <c:spPr>
        <a:noFill/>
        <a:ln w="25400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3.4179703798152834E-2"/>
          <c:y val="0.40813072937425338"/>
          <c:w val="0.64648468326791919"/>
          <c:h val="0.42764295547979481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9956165124913947"/>
                  <c:y val="-0.15075004603132203"/>
                </c:manualLayout>
              </c:layout>
              <c:dLblPos val="bestFit"/>
              <c:showVal val="1"/>
            </c:dLbl>
            <c:dLbl>
              <c:idx val="1"/>
              <c:layout>
                <c:manualLayout>
                  <c:x val="6.0198285761154805E-3"/>
                  <c:y val="-8.8786462667776538E-4"/>
                </c:manualLayout>
              </c:layout>
              <c:dLblPos val="bestFit"/>
              <c:showVal val="1"/>
            </c:dLbl>
            <c:dLbl>
              <c:idx val="2"/>
              <c:layout>
                <c:manualLayout>
                  <c:x val="7.0106854313265576E-2"/>
                  <c:y val="-0.13013060451331732"/>
                </c:manualLayout>
              </c:layout>
              <c:dLblPos val="bestFit"/>
              <c:showVal val="1"/>
            </c:dLbl>
            <c:dLbl>
              <c:idx val="3"/>
              <c:layout>
                <c:manualLayout>
                  <c:x val="0.11806409940944881"/>
                  <c:y val="3.219136632311205E-2"/>
                </c:manualLayout>
              </c:layout>
              <c:dLblPos val="bestFit"/>
              <c:showVal val="1"/>
            </c:dLbl>
            <c:dLbl>
              <c:idx val="5"/>
              <c:layout>
                <c:manualLayout>
                  <c:x val="5.9905778379265077E-2"/>
                  <c:y val="4.0845699165653067E-2"/>
                </c:manualLayout>
              </c:layout>
              <c:dLblPos val="bestFit"/>
              <c:showVal val="1"/>
            </c:dLbl>
            <c:dLbl>
              <c:idx val="6"/>
              <c:layout>
                <c:manualLayout>
                  <c:x val="-1.3545460137795281E-2"/>
                  <c:y val="-2.4595608475769838E-2"/>
                </c:manualLayout>
              </c:layout>
              <c:showVal val="1"/>
            </c:dLbl>
            <c:dLbl>
              <c:idx val="7"/>
              <c:layout>
                <c:manualLayout>
                  <c:x val="-1.6293897586492099E-4"/>
                  <c:y val="-9.9359034847674665E-2"/>
                </c:manualLayout>
              </c:layout>
              <c:dLblPos val="bestFit"/>
              <c:showVal val="1"/>
            </c:dLbl>
            <c:dLbl>
              <c:idx val="8"/>
              <c:layout>
                <c:manualLayout>
                  <c:x val="5.3997190780839886E-2"/>
                  <c:y val="-8.3557945500715033E-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82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'2025'!$A$3:$A$13</c:f>
              <c:strCache>
                <c:ptCount val="10"/>
                <c:pt idx="0">
                  <c:v>Налоги на прибыль, доходы</c:v>
                </c:pt>
                <c:pt idx="1">
                  <c:v>Налоги на товары (работы, услуги), реализуемые на территории Российской Федерации</c:v>
                </c:pt>
                <c:pt idx="2">
                  <c:v>Налоги на совокупный доход</c:v>
                </c:pt>
                <c:pt idx="3">
                  <c:v>Налоги на имущество</c:v>
                </c:pt>
                <c:pt idx="4">
                  <c:v>Государственная пошлина</c:v>
                </c:pt>
                <c:pt idx="5">
                  <c:v>Доходы от использования имущества, находящегося в государственной и муниципальной собственности</c:v>
                </c:pt>
                <c:pt idx="6">
                  <c:v>Платежи при пользовании природными ресурсами</c:v>
                </c:pt>
                <c:pt idx="7">
                  <c:v>Доходы от оказания платных услуг (работ) и компенсации затрат государства</c:v>
                </c:pt>
                <c:pt idx="8">
                  <c:v>Доходы от продажи материальных и нематериальных активов</c:v>
                </c:pt>
                <c:pt idx="9">
                  <c:v>Штрафы, санкции, возмещение ущерба</c:v>
                </c:pt>
              </c:strCache>
            </c:strRef>
          </c:cat>
          <c:val>
            <c:numRef>
              <c:f>'2025'!$B$3:$B$13</c:f>
              <c:numCache>
                <c:formatCode>0.0%</c:formatCode>
                <c:ptCount val="10"/>
                <c:pt idx="0">
                  <c:v>0.68120336244117863</c:v>
                </c:pt>
                <c:pt idx="1">
                  <c:v>1.370600307857181E-2</c:v>
                </c:pt>
                <c:pt idx="2">
                  <c:v>9.0624928790459289E-2</c:v>
                </c:pt>
                <c:pt idx="3">
                  <c:v>0.12998512837775425</c:v>
                </c:pt>
                <c:pt idx="4">
                  <c:v>4.8688564160495659E-3</c:v>
                </c:pt>
                <c:pt idx="5">
                  <c:v>4.2647607229799801E-2</c:v>
                </c:pt>
                <c:pt idx="6">
                  <c:v>6.1560520161561593E-3</c:v>
                </c:pt>
                <c:pt idx="7">
                  <c:v>4.8760200105802922E-4</c:v>
                </c:pt>
                <c:pt idx="8">
                  <c:v>2.9160196121479836E-2</c:v>
                </c:pt>
                <c:pt idx="9">
                  <c:v>9.8970175295204983E-4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117218257874014"/>
          <c:y val="0.1626019674369972"/>
          <c:w val="0.29199229002624688"/>
          <c:h val="0.6666676909288789"/>
        </c:manualLayout>
      </c:layout>
      <c:spPr>
        <a:solidFill>
          <a:srgbClr val="FFFFFF"/>
        </a:solidFill>
        <a:ln w="3175">
          <a:solidFill>
            <a:srgbClr val="FFFFFF"/>
          </a:solidFill>
          <a:prstDash val="solid"/>
        </a:ln>
      </c:spPr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solidFill>
      <a:srgbClr val="FFFFFF"/>
    </a:solidFill>
    <a:ln w="12700">
      <a:solidFill>
        <a:srgbClr val="FFFFFF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2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Структура доходов 2026 год</a:t>
            </a:r>
          </a:p>
        </c:rich>
      </c:tx>
      <c:layout>
        <c:manualLayout>
          <c:xMode val="edge"/>
          <c:yMode val="edge"/>
          <c:x val="0.33229115403543275"/>
          <c:y val="2.9288607216780831E-2"/>
        </c:manualLayout>
      </c:layout>
      <c:spPr>
        <a:noFill/>
        <a:ln w="25400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3.4179703798152834E-2"/>
          <c:y val="0.40813072937425354"/>
          <c:w val="0.64648468326791919"/>
          <c:h val="0.42764295547979481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9956170029527559"/>
                  <c:y val="-0.17026225380364041"/>
                </c:manualLayout>
              </c:layout>
              <c:dLblPos val="bestFit"/>
              <c:showVal val="1"/>
            </c:dLbl>
            <c:dLbl>
              <c:idx val="1"/>
              <c:layout>
                <c:manualLayout>
                  <c:x val="6.0198285761154805E-3"/>
                  <c:y val="-8.8786462667776636E-4"/>
                </c:manualLayout>
              </c:layout>
              <c:dLblPos val="bestFit"/>
              <c:showVal val="1"/>
            </c:dLbl>
            <c:dLbl>
              <c:idx val="2"/>
              <c:layout>
                <c:manualLayout>
                  <c:x val="6.2294332349081417E-2"/>
                  <c:y val="-0.11712250602821005"/>
                </c:manualLayout>
              </c:layout>
              <c:dLblPos val="bestFit"/>
              <c:showVal val="1"/>
            </c:dLbl>
            <c:dLbl>
              <c:idx val="3"/>
              <c:layout>
                <c:manualLayout>
                  <c:x val="0.12197034940944881"/>
                  <c:y val="3.219136632311205E-2"/>
                </c:manualLayout>
              </c:layout>
              <c:dLblPos val="bestFit"/>
              <c:showVal val="1"/>
            </c:dLbl>
            <c:dLbl>
              <c:idx val="5"/>
              <c:layout>
                <c:manualLayout>
                  <c:x val="5.9905778379265077E-2"/>
                  <c:y val="4.7349764206303484E-2"/>
                </c:manualLayout>
              </c:layout>
              <c:dLblPos val="bestFit"/>
              <c:showVal val="1"/>
            </c:dLbl>
            <c:dLbl>
              <c:idx val="6"/>
              <c:layout>
                <c:manualLayout>
                  <c:x val="-5.8162114501312378E-3"/>
                  <c:y val="-1.5648848771952287E-2"/>
                </c:manualLayout>
              </c:layout>
              <c:showVal val="1"/>
            </c:dLbl>
            <c:dLbl>
              <c:idx val="7"/>
              <c:layout>
                <c:manualLayout>
                  <c:x val="-1.6293897586492105E-4"/>
                  <c:y val="-9.9359034847674665E-2"/>
                </c:manualLayout>
              </c:layout>
              <c:dLblPos val="bestFit"/>
              <c:showVal val="1"/>
            </c:dLbl>
            <c:dLbl>
              <c:idx val="9"/>
              <c:layout>
                <c:manualLayout>
                  <c:x val="3.531824146981629E-2"/>
                  <c:y val="-2.9899408915348997E-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82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'2026'!$A$3:$A$13</c:f>
              <c:strCache>
                <c:ptCount val="10"/>
                <c:pt idx="0">
                  <c:v>Налоги на прибыль, доходы</c:v>
                </c:pt>
                <c:pt idx="1">
                  <c:v>Налоги на товары (работы, услуги), реализуемые на территории Российской Федерации</c:v>
                </c:pt>
                <c:pt idx="2">
                  <c:v>Налоги на совокупный доход</c:v>
                </c:pt>
                <c:pt idx="3">
                  <c:v>Налоги на имущество</c:v>
                </c:pt>
                <c:pt idx="4">
                  <c:v>Государственная пошлина</c:v>
                </c:pt>
                <c:pt idx="5">
                  <c:v>Доходы от использования имущества, находящегося в государственной и муниципальной собственности</c:v>
                </c:pt>
                <c:pt idx="6">
                  <c:v>Платежи при пользовании природными ресурсами</c:v>
                </c:pt>
                <c:pt idx="7">
                  <c:v>Доходы от оказания платных услуг (работ) и компенсации затрат государства</c:v>
                </c:pt>
                <c:pt idx="8">
                  <c:v>Доходы от продажи материальных и нематериальных активов</c:v>
                </c:pt>
                <c:pt idx="9">
                  <c:v>Штрафы, санкции, возмещение ущерба</c:v>
                </c:pt>
              </c:strCache>
            </c:strRef>
          </c:cat>
          <c:val>
            <c:numRef>
              <c:f>'2026'!$B$3:$B$13</c:f>
              <c:numCache>
                <c:formatCode>0.0%</c:formatCode>
                <c:ptCount val="10"/>
                <c:pt idx="0">
                  <c:v>0.67835728825364205</c:v>
                </c:pt>
                <c:pt idx="1">
                  <c:v>1.379044874172242E-2</c:v>
                </c:pt>
                <c:pt idx="2">
                  <c:v>0.10608070427620503</c:v>
                </c:pt>
                <c:pt idx="3">
                  <c:v>0.12690124206912529</c:v>
                </c:pt>
                <c:pt idx="4">
                  <c:v>4.9308766642243941E-3</c:v>
                </c:pt>
                <c:pt idx="5">
                  <c:v>4.1609129617604441E-2</c:v>
                </c:pt>
                <c:pt idx="6">
                  <c:v>5.9433991873670293E-3</c:v>
                </c:pt>
                <c:pt idx="7">
                  <c:v>4.8251585631546611E-4</c:v>
                </c:pt>
                <c:pt idx="8">
                  <c:v>2.0784211604297213E-2</c:v>
                </c:pt>
                <c:pt idx="9">
                  <c:v>9.5551379013586988E-4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117218257874014"/>
          <c:y val="0.1626019674369972"/>
          <c:w val="0.29199229002624688"/>
          <c:h val="0.66666769092887934"/>
        </c:manualLayout>
      </c:layout>
      <c:spPr>
        <a:solidFill>
          <a:srgbClr val="FFFFFF"/>
        </a:solidFill>
        <a:ln w="3175">
          <a:solidFill>
            <a:srgbClr val="FFFFFF"/>
          </a:solidFill>
          <a:prstDash val="solid"/>
        </a:ln>
      </c:spPr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solidFill>
      <a:srgbClr val="FFFFFF"/>
    </a:solidFill>
    <a:ln w="12700">
      <a:solidFill>
        <a:srgbClr val="FFFFFF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</dc:creator>
  <cp:lastModifiedBy>buch1</cp:lastModifiedBy>
  <cp:revision>4</cp:revision>
  <dcterms:created xsi:type="dcterms:W3CDTF">2023-11-15T08:26:00Z</dcterms:created>
  <dcterms:modified xsi:type="dcterms:W3CDTF">2023-11-15T09:24:00Z</dcterms:modified>
</cp:coreProperties>
</file>